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80" w:rightFromText="180" w:vertAnchor="page" w:horzAnchor="page" w:tblpX="856" w:tblpY="1905"/>
        <w:tblW w:w="10707" w:type="dxa"/>
        <w:tblLayout w:type="fixed"/>
        <w:tblLook w:val="04A0" w:firstRow="1" w:lastRow="0" w:firstColumn="1" w:lastColumn="0" w:noHBand="0" w:noVBand="1"/>
      </w:tblPr>
      <w:tblGrid>
        <w:gridCol w:w="1526"/>
        <w:gridCol w:w="9181"/>
      </w:tblGrid>
      <w:tr w:rsidR="008D144E" w:rsidRPr="00B357A6" w14:paraId="3EAEC118" w14:textId="77777777" w:rsidTr="008948A0">
        <w:trPr>
          <w:trHeight w:val="1266"/>
        </w:trPr>
        <w:tc>
          <w:tcPr>
            <w:tcW w:w="10707" w:type="dxa"/>
            <w:gridSpan w:val="2"/>
            <w:shd w:val="clear" w:color="auto" w:fill="auto"/>
            <w:vAlign w:val="center"/>
          </w:tcPr>
          <w:p w14:paraId="10DE1199" w14:textId="0DBA7724" w:rsidR="00D442E7" w:rsidRDefault="00B357A6" w:rsidP="008D144E">
            <w:pPr>
              <w:jc w:val="center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B357A6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NOTA IMPORTANTE:</w:t>
            </w: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</w:t>
            </w:r>
            <w:r w:rsidR="00D442E7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LEA MUY BIEN ESTE DOCUMENTO, allí registramos de manera clara todo el proceso y cualquier duda por favor contáctenos.</w:t>
            </w:r>
          </w:p>
          <w:p w14:paraId="76C6AB83" w14:textId="2F485C88" w:rsidR="008D144E" w:rsidRPr="00B357A6" w:rsidRDefault="008D144E" w:rsidP="008D144E">
            <w:pPr>
              <w:jc w:val="center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B357A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EL DAGRD expide acreditación bajo 3 servicios logísticos, 1.  Logística de personas, 2. Equipos audiovisuales, 3. Elementos de montaje, hay empresas que cuentan con los 3 servicios, o con dos o con uno de los servicios, en los tres casos es obligatorio los REQUISITOS GENERALES y ya los REQUSITOS ESPECIFICOS de acuerdo a los </w:t>
            </w:r>
            <w:r w:rsidR="00D361D1" w:rsidRPr="00B357A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servicios</w:t>
            </w:r>
            <w:r w:rsidRPr="00B357A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que preste. </w:t>
            </w:r>
            <w:r w:rsidR="00D361D1" w:rsidRPr="00B357A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No hay excepción de documentos, </w:t>
            </w:r>
            <w:r w:rsidR="00D361D1" w:rsidRPr="004A205F">
              <w:rPr>
                <w:rFonts w:ascii="Calibri" w:hAnsi="Calibri"/>
                <w:b/>
                <w:color w:val="FF0000"/>
                <w:sz w:val="16"/>
                <w:szCs w:val="16"/>
              </w:rPr>
              <w:t>todos deben entregarse en digital en una USB</w:t>
            </w:r>
            <w:r w:rsidR="008948A0">
              <w:rPr>
                <w:rFonts w:ascii="Calibri" w:hAnsi="Calibri"/>
                <w:b/>
                <w:color w:val="FF0000"/>
                <w:sz w:val="16"/>
                <w:szCs w:val="16"/>
              </w:rPr>
              <w:t xml:space="preserve"> </w:t>
            </w:r>
            <w:r w:rsidR="00B357A6" w:rsidRPr="00B357A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(se adjunta anexo de cómo debe ir el contenido de la USB)</w:t>
            </w:r>
            <w:r w:rsidR="00D361D1" w:rsidRPr="00B357A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con carta adjunta en sobre. </w:t>
            </w:r>
            <w:r w:rsidR="008948A0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</w:t>
            </w:r>
            <w:r w:rsidR="00D361D1" w:rsidRPr="008948A0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Se radican en el archivo general de la alcaldía dirigido al DAGRD</w:t>
            </w:r>
            <w:r w:rsidR="00D361D1" w:rsidRPr="00B357A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</w:tr>
      <w:tr w:rsidR="007D4FCD" w:rsidRPr="008D144E" w14:paraId="216681A9" w14:textId="77777777" w:rsidTr="008D144E">
        <w:trPr>
          <w:trHeight w:val="131"/>
        </w:trPr>
        <w:tc>
          <w:tcPr>
            <w:tcW w:w="10707" w:type="dxa"/>
            <w:gridSpan w:val="2"/>
            <w:shd w:val="clear" w:color="auto" w:fill="BFBFBF" w:themeFill="background1" w:themeFillShade="BF"/>
            <w:vAlign w:val="center"/>
          </w:tcPr>
          <w:p w14:paraId="0B8C535B" w14:textId="275F78B6" w:rsidR="007D4FCD" w:rsidRPr="008D144E" w:rsidRDefault="007D4FCD" w:rsidP="008D144E">
            <w:pPr>
              <w:jc w:val="center"/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REQUISITOS GENERALES</w:t>
            </w:r>
            <w:r w:rsidR="00D442E7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 xml:space="preserve"> (obligatorios para todas las empresas)</w:t>
            </w:r>
          </w:p>
        </w:tc>
      </w:tr>
      <w:tr w:rsidR="007D4FCD" w:rsidRPr="008D144E" w14:paraId="1B408D04" w14:textId="77777777" w:rsidTr="007D4FCD">
        <w:trPr>
          <w:trHeight w:val="408"/>
        </w:trPr>
        <w:tc>
          <w:tcPr>
            <w:tcW w:w="10707" w:type="dxa"/>
            <w:gridSpan w:val="2"/>
            <w:shd w:val="clear" w:color="auto" w:fill="FFFFFF" w:themeFill="background1"/>
            <w:vAlign w:val="center"/>
          </w:tcPr>
          <w:p w14:paraId="7488F252" w14:textId="1248BADC" w:rsidR="007D4FCD" w:rsidRPr="00B357A6" w:rsidRDefault="00AD744E" w:rsidP="00B357A6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1. </w:t>
            </w:r>
            <w:r w:rsidR="007D4FCD" w:rsidRPr="00B357A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Carta de solicitud de acreditación de la empresa interesada, especificando su modalidad, número de personas capacitadas y sus cargos en la empresa (operarios y/o coordinadores)</w:t>
            </w:r>
            <w:r w:rsidR="00D442E7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En la carta se debe registrar el inventario del contenido de la USB en el mismo orden en que se solicita en el presente formato</w:t>
            </w:r>
            <w:r w:rsidR="007D4FCD" w:rsidRPr="00B357A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.</w:t>
            </w:r>
          </w:p>
          <w:p w14:paraId="44C51EC0" w14:textId="0B35498A" w:rsidR="007D4FCD" w:rsidRPr="008D144E" w:rsidRDefault="00AD744E" w:rsidP="00B357A6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2. 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Formulario de inscripción de empresas u organizaciones logísticas ante el DAGRD.</w:t>
            </w:r>
          </w:p>
          <w:p w14:paraId="59397DA5" w14:textId="1652EEC7" w:rsidR="007D4FCD" w:rsidRPr="008D144E" w:rsidRDefault="00AD744E" w:rsidP="00B357A6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3. 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Copia del registro único tributario – RUT.</w:t>
            </w:r>
          </w:p>
          <w:p w14:paraId="0D96113D" w14:textId="069F1240" w:rsidR="007D4FCD" w:rsidRPr="008D144E" w:rsidRDefault="00AD744E" w:rsidP="00B357A6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4. 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Original del certificado de existencia y representación legal con vigencia de no menos de tres (3) meses a la fecha de su expedición por parte de la cámara de comercio.</w:t>
            </w:r>
          </w:p>
          <w:p w14:paraId="51201305" w14:textId="1F8BDF71" w:rsidR="007D4FCD" w:rsidRPr="008D144E" w:rsidRDefault="00AD744E" w:rsidP="00B357A6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5. 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Presentar copia clara de la Cédula de Ciudadanía del representante legal. </w:t>
            </w:r>
          </w:p>
          <w:p w14:paraId="56869A0E" w14:textId="5407C2BF" w:rsidR="007D4FCD" w:rsidRPr="00D361D1" w:rsidRDefault="00AD744E" w:rsidP="00B357A6">
            <w:pPr>
              <w:spacing w:line="220" w:lineRule="exact"/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6. 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Certificados que acrediten experiencia en el servicio logístico solicitado </w:t>
            </w:r>
            <w:r w:rsidR="007D4FCD" w:rsidRPr="00D361D1"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  <w:t>(últimos 2 años mínimo 96 horas</w:t>
            </w:r>
            <w:r w:rsidR="00D361D1" w:rsidRPr="00D361D1"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  <w:t>, si esta acreditando todos los servicios, cada servicio debe tener su certificación</w:t>
            </w:r>
            <w:r w:rsidR="007D4FCD" w:rsidRPr="00D361D1"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  <w:t>).</w:t>
            </w:r>
          </w:p>
          <w:p w14:paraId="04D0F2DE" w14:textId="48C70B47" w:rsidR="007D4FCD" w:rsidRPr="00D361D1" w:rsidRDefault="00AD744E" w:rsidP="00B357A6">
            <w:pPr>
              <w:spacing w:line="220" w:lineRule="exact"/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7. 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Descripción del proceso de capacitación que se tiene dentro de la organización </w:t>
            </w:r>
            <w:r w:rsidR="00D361D1" w:rsidRPr="00D361D1"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  <w:t xml:space="preserve">(Contar en una carta como capacita actualmente la empresa a su personal, adjuntar evidencias, programas </w:t>
            </w:r>
            <w:proofErr w:type="spellStart"/>
            <w:r w:rsidR="00D361D1" w:rsidRPr="00D361D1"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  <w:t>etc</w:t>
            </w:r>
            <w:proofErr w:type="spellEnd"/>
            <w:r w:rsidR="00D361D1" w:rsidRPr="00D361D1"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  <w:t>…)</w:t>
            </w:r>
          </w:p>
          <w:p w14:paraId="5F01D1B7" w14:textId="1708803B" w:rsidR="007D4FCD" w:rsidRPr="008D144E" w:rsidRDefault="00AD744E" w:rsidP="00B357A6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8. 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Presentación de la empresa con los servicios que ofrece, reseña histórica, </w:t>
            </w:r>
            <w:proofErr w:type="spellStart"/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brochure</w:t>
            </w:r>
            <w:proofErr w:type="spellEnd"/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que permita conocer lo que hace, debe incluir el ORGANIGRAMA.</w:t>
            </w:r>
          </w:p>
          <w:p w14:paraId="51E421F1" w14:textId="3C2C1E51" w:rsidR="007D4FCD" w:rsidRPr="008D144E" w:rsidRDefault="00AD744E" w:rsidP="00B357A6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9. 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Política de seguridad de la compañía debidamente documentada, socializada y publicada</w:t>
            </w:r>
            <w:r w:rsidR="00D361D1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</w:t>
            </w:r>
            <w:r w:rsidR="00D361D1" w:rsidRPr="00D361D1"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  <w:t>(Párrafo donde se evidencia el compromiso como organización frente al tema de la seguridad humana, es un valor corporativo)</w:t>
            </w:r>
            <w:r w:rsidR="007D4FCD" w:rsidRPr="00D361D1">
              <w:rPr>
                <w:rFonts w:ascii="Calibri" w:hAnsi="Calibri"/>
                <w:i/>
                <w:color w:val="262626" w:themeColor="text1" w:themeTint="D9"/>
                <w:sz w:val="16"/>
                <w:szCs w:val="16"/>
              </w:rPr>
              <w:t xml:space="preserve">. </w:t>
            </w:r>
          </w:p>
          <w:p w14:paraId="37F709D2" w14:textId="77777777" w:rsidR="007D4FCD" w:rsidRPr="008D144E" w:rsidRDefault="007D4FCD" w:rsidP="00B229A2">
            <w:pPr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7D4FCD" w:rsidRPr="008D144E" w14:paraId="2A9BBB8C" w14:textId="77777777" w:rsidTr="008D144E">
        <w:trPr>
          <w:trHeight w:val="200"/>
        </w:trPr>
        <w:tc>
          <w:tcPr>
            <w:tcW w:w="1070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66E901F" w14:textId="41712752" w:rsidR="007D4FCD" w:rsidRPr="008D144E" w:rsidRDefault="004A205F" w:rsidP="008D144E">
            <w:pPr>
              <w:jc w:val="center"/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</w:pPr>
            <w:r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 xml:space="preserve">OJO: lea atentamente la nota inicial - </w:t>
            </w:r>
            <w:r w:rsidR="007D4FCD"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REQUISITOS ESPECIFICOS</w:t>
            </w:r>
          </w:p>
        </w:tc>
      </w:tr>
      <w:tr w:rsidR="007D4FCD" w:rsidRPr="008D144E" w14:paraId="5998E267" w14:textId="77777777" w:rsidTr="007D4FCD">
        <w:trPr>
          <w:trHeight w:val="1855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376ABDF" w14:textId="77777777" w:rsidR="007D4FCD" w:rsidRPr="008D144E" w:rsidRDefault="007D4FCD" w:rsidP="008D144E">
            <w:pPr>
              <w:jc w:val="center"/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LOGISTICA DE PERSONAS</w:t>
            </w:r>
          </w:p>
        </w:tc>
        <w:tc>
          <w:tcPr>
            <w:tcW w:w="9181" w:type="dxa"/>
          </w:tcPr>
          <w:p w14:paraId="6AAC64D3" w14:textId="77777777" w:rsidR="007D4FCD" w:rsidRPr="008D144E" w:rsidRDefault="007D4FCD" w:rsidP="008D144E">
            <w:pPr>
              <w:spacing w:line="220" w:lineRule="exact"/>
              <w:jc w:val="both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1.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 Certificados de capacitación o de procesos de capacitación, del personal de planta y provisionales de la empresa u organización logística, expedido por una institución de educación legalmente constituida y cuyo pensum específico haya sido avalado por el DAGRD o un Consejo Municipal de Gestión del Riesgo de ciudad de Colombia (ciudad categoría 1 ó 2), conforme lo exigido dentro del Plan Nacional de Emergencia y Contingencia de Eventos Masivos. (Curso CAPACITACION EN SEGURIDAD PARA EVENTOS Y CERTAMENES, que actualmente dicta el politécnico Jaime Isaza Cadavid en Medellín, mínimo 2 personas dentro de la organización deben contar con él).</w:t>
            </w:r>
          </w:p>
          <w:p w14:paraId="72A4D22F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br/>
            </w: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2.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Copia del Registro Nacional de Turismo (Ley 300 de 1996).  </w:t>
            </w:r>
          </w:p>
          <w:p w14:paraId="3820459E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491B91A5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3.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Listado del personal operativo provisional y permanente enfocado a la logística de personas de la siguiente forma: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3"/>
              <w:gridCol w:w="853"/>
              <w:gridCol w:w="930"/>
              <w:gridCol w:w="1474"/>
              <w:gridCol w:w="1635"/>
              <w:gridCol w:w="1078"/>
            </w:tblGrid>
            <w:tr w:rsidR="007D4FCD" w:rsidRPr="008D144E" w14:paraId="734B17A3" w14:textId="77777777" w:rsidTr="008D144E">
              <w:trPr>
                <w:trHeight w:val="506"/>
                <w:jc w:val="center"/>
              </w:trPr>
              <w:tc>
                <w:tcPr>
                  <w:tcW w:w="953" w:type="dxa"/>
                  <w:vAlign w:val="center"/>
                </w:tcPr>
                <w:p w14:paraId="41AF3937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NOMBRE</w:t>
                  </w:r>
                </w:p>
              </w:tc>
              <w:tc>
                <w:tcPr>
                  <w:tcW w:w="853" w:type="dxa"/>
                  <w:vAlign w:val="center"/>
                </w:tcPr>
                <w:p w14:paraId="7A32B763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CEDULA</w:t>
                  </w:r>
                </w:p>
              </w:tc>
              <w:tc>
                <w:tcPr>
                  <w:tcW w:w="930" w:type="dxa"/>
                  <w:vAlign w:val="center"/>
                </w:tcPr>
                <w:p w14:paraId="06B24AF4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CELULAR</w:t>
                  </w:r>
                </w:p>
              </w:tc>
              <w:tc>
                <w:tcPr>
                  <w:tcW w:w="1474" w:type="dxa"/>
                  <w:vAlign w:val="center"/>
                </w:tcPr>
                <w:p w14:paraId="00F21B08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TIEMPO DE EXPERIENCIA EN LA ORGANIZACIÓN</w:t>
                  </w:r>
                </w:p>
              </w:tc>
              <w:tc>
                <w:tcPr>
                  <w:tcW w:w="1635" w:type="dxa"/>
                  <w:vAlign w:val="center"/>
                </w:tcPr>
                <w:p w14:paraId="6303B1B5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CARGO/FUNCIÓN</w:t>
                  </w:r>
                </w:p>
              </w:tc>
              <w:tc>
                <w:tcPr>
                  <w:tcW w:w="1078" w:type="dxa"/>
                  <w:vAlign w:val="center"/>
                </w:tcPr>
                <w:p w14:paraId="1FC5689D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NIVEL DE ESTUDIOS</w:t>
                  </w:r>
                </w:p>
              </w:tc>
            </w:tr>
          </w:tbl>
          <w:p w14:paraId="22D6C8CB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24E1E1E6" w14:textId="5519D6E4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4.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Inventario mínimo según lo exige el decreto 3888 de 2007 y el protocolo de acreditación del municipio de Medellín</w:t>
            </w:r>
            <w:r w:rsidR="00BE6BC6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(Ver pagina 8 del Protocolo de acreditación de servicios logísticos que se adjunta)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.</w:t>
            </w:r>
          </w:p>
          <w:p w14:paraId="08A3F958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15A14EB5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5.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listar los eventos en los que ha participado de la siguiente forma:</w:t>
            </w:r>
          </w:p>
          <w:tbl>
            <w:tblPr>
              <w:tblStyle w:val="Tablaconcuadrcula"/>
              <w:tblW w:w="70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93"/>
              <w:gridCol w:w="1378"/>
              <w:gridCol w:w="1354"/>
              <w:gridCol w:w="1354"/>
              <w:gridCol w:w="1693"/>
            </w:tblGrid>
            <w:tr w:rsidR="007D4FCD" w:rsidRPr="008D144E" w14:paraId="2B21B74D" w14:textId="77777777" w:rsidTr="007D4FCD">
              <w:trPr>
                <w:trHeight w:val="237"/>
                <w:jc w:val="center"/>
              </w:trPr>
              <w:tc>
                <w:tcPr>
                  <w:tcW w:w="1293" w:type="dxa"/>
                  <w:vAlign w:val="center"/>
                </w:tcPr>
                <w:p w14:paraId="68552FE5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FECHA</w:t>
                  </w:r>
                </w:p>
              </w:tc>
              <w:tc>
                <w:tcPr>
                  <w:tcW w:w="1378" w:type="dxa"/>
                  <w:vAlign w:val="center"/>
                </w:tcPr>
                <w:p w14:paraId="271B6299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NOMBRE EVENTO</w:t>
                  </w:r>
                </w:p>
              </w:tc>
              <w:tc>
                <w:tcPr>
                  <w:tcW w:w="1354" w:type="dxa"/>
                  <w:vAlign w:val="center"/>
                </w:tcPr>
                <w:p w14:paraId="60A24B77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TIPO DE EVENTO</w:t>
                  </w:r>
                </w:p>
              </w:tc>
              <w:tc>
                <w:tcPr>
                  <w:tcW w:w="1354" w:type="dxa"/>
                  <w:vAlign w:val="center"/>
                </w:tcPr>
                <w:p w14:paraId="4D3603CC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AFORO</w:t>
                  </w:r>
                </w:p>
              </w:tc>
              <w:tc>
                <w:tcPr>
                  <w:tcW w:w="1693" w:type="dxa"/>
                  <w:vAlign w:val="center"/>
                </w:tcPr>
                <w:p w14:paraId="2C3C94B5" w14:textId="77777777" w:rsidR="007D4FCD" w:rsidRPr="008D144E" w:rsidRDefault="007D4FCD" w:rsidP="00BC09E5">
                  <w:pPr>
                    <w:framePr w:hSpace="180" w:wrap="around" w:vAnchor="page" w:hAnchor="page" w:x="856" w:y="1905"/>
                    <w:spacing w:line="220" w:lineRule="exact"/>
                    <w:jc w:val="center"/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</w:pPr>
                  <w:r w:rsidRPr="008D144E">
                    <w:rPr>
                      <w:rFonts w:ascii="Calibri" w:hAnsi="Calibri"/>
                      <w:color w:val="262626" w:themeColor="text1" w:themeTint="D9"/>
                      <w:sz w:val="16"/>
                      <w:szCs w:val="16"/>
                    </w:rPr>
                    <w:t>CANTIDAD DE LOGISTICOS</w:t>
                  </w:r>
                </w:p>
              </w:tc>
            </w:tr>
          </w:tbl>
          <w:p w14:paraId="4781CCC1" w14:textId="77777777" w:rsidR="007D4FCD" w:rsidRPr="008D144E" w:rsidRDefault="007D4FCD" w:rsidP="008D144E">
            <w:pPr>
              <w:spacing w:line="220" w:lineRule="exact"/>
              <w:jc w:val="both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6.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Fotografías a color de los uniformes usados en los eventos. </w:t>
            </w: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(TODAS LAS CAMISETAS, CAMISAS, CHAQUETAS, CHELECOS, GORRAS Y DEMÁS ELEMENTOS DE IDENTIFICACIÓN, DEBEN IR NUMERADAS, PARA CAMISETAS EL NUMERO DEBE IR ATRÁS Y EN EL BRAZO DERECHO)</w:t>
            </w:r>
          </w:p>
        </w:tc>
      </w:tr>
      <w:tr w:rsidR="007D4FCD" w:rsidRPr="008D144E" w14:paraId="382BB05E" w14:textId="77777777" w:rsidTr="007D4FCD">
        <w:trPr>
          <w:trHeight w:val="1785"/>
        </w:trPr>
        <w:tc>
          <w:tcPr>
            <w:tcW w:w="1526" w:type="dxa"/>
            <w:shd w:val="clear" w:color="auto" w:fill="F2F2F2" w:themeFill="background1" w:themeFillShade="F2"/>
            <w:vAlign w:val="center"/>
            <w:hideMark/>
          </w:tcPr>
          <w:p w14:paraId="59325E89" w14:textId="77777777" w:rsidR="007D4FCD" w:rsidRPr="008D144E" w:rsidRDefault="007D4FCD" w:rsidP="008D144E">
            <w:pPr>
              <w:jc w:val="center"/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EQUIPOS AUDIOVISUALES</w:t>
            </w:r>
          </w:p>
        </w:tc>
        <w:tc>
          <w:tcPr>
            <w:tcW w:w="9181" w:type="dxa"/>
            <w:hideMark/>
          </w:tcPr>
          <w:p w14:paraId="7C6194CB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1.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Inventario de todos los equipos audiovisuales que tenga en la organización, adjuntar fotos que evidencien el estado y conservación. Hoja de vida con acciones preventivas y correctivas sobre los equipos.</w:t>
            </w:r>
          </w:p>
          <w:p w14:paraId="46962695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0952FF45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2.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Fichas técnicas de TODOS los equipos que va acreditar.  Hoja de vida con acciones preventivas y correctivas sobre los equipos.</w:t>
            </w:r>
          </w:p>
          <w:p w14:paraId="6319CF01" w14:textId="77777777" w:rsidR="008D144E" w:rsidRPr="008D144E" w:rsidRDefault="008D144E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27304AE9" w14:textId="02B69268" w:rsidR="008D144E" w:rsidRPr="008D144E" w:rsidRDefault="008D144E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3. Listado del personal que realiza los montajes de audio y video.</w:t>
            </w:r>
          </w:p>
          <w:p w14:paraId="5017A513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3624ADC8" w14:textId="00F3F58B" w:rsidR="007D4FCD" w:rsidRPr="008D144E" w:rsidRDefault="008D144E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4</w:t>
            </w:r>
            <w:r w:rsidR="007D4FCD"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.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Certificados de trabajo seguro en alturas del personal que realiza los montajes de los equipos.</w:t>
            </w:r>
          </w:p>
        </w:tc>
      </w:tr>
      <w:tr w:rsidR="007D4FCD" w:rsidRPr="008D144E" w14:paraId="70557151" w14:textId="77777777" w:rsidTr="008D144E">
        <w:trPr>
          <w:trHeight w:val="2959"/>
        </w:trPr>
        <w:tc>
          <w:tcPr>
            <w:tcW w:w="1526" w:type="dxa"/>
            <w:shd w:val="clear" w:color="auto" w:fill="F2F2F2" w:themeFill="background1" w:themeFillShade="F2"/>
            <w:vAlign w:val="center"/>
            <w:hideMark/>
          </w:tcPr>
          <w:p w14:paraId="7F19D066" w14:textId="77777777" w:rsidR="007D4FCD" w:rsidRPr="008D144E" w:rsidRDefault="007D4FCD" w:rsidP="008D144E">
            <w:pPr>
              <w:jc w:val="center"/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ELEMENTOS DE MONTAJE</w:t>
            </w:r>
          </w:p>
        </w:tc>
        <w:tc>
          <w:tcPr>
            <w:tcW w:w="9181" w:type="dxa"/>
            <w:hideMark/>
          </w:tcPr>
          <w:p w14:paraId="1C5CD97C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1.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Inventario de todos elementos de montaje, como carpas, techos, tarimas, </w:t>
            </w:r>
            <w:proofErr w:type="spellStart"/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Scaffold</w:t>
            </w:r>
            <w:proofErr w:type="spellEnd"/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Truss</w:t>
            </w:r>
            <w:proofErr w:type="spellEnd"/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, pisos, paneles, puentes, graderías, y demás elementos de montaje. </w:t>
            </w:r>
          </w:p>
          <w:p w14:paraId="31102A69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5437D91B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2.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Inventario de elementos de seguridad publica como arnés, cascos, líneas de vida, extintores y demás elementos según lo exige el decreto 3888 de 2007.   </w:t>
            </w:r>
          </w:p>
          <w:p w14:paraId="41DE4B5C" w14:textId="77777777" w:rsidR="008D144E" w:rsidRPr="008D144E" w:rsidRDefault="008D144E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4B24AD71" w14:textId="6B193773" w:rsidR="008D144E" w:rsidRPr="008D144E" w:rsidRDefault="008D144E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A4251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3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. Listado del p</w:t>
            </w:r>
            <w:r w:rsidR="004A205F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ersonal que realiza los montaje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.</w:t>
            </w:r>
          </w:p>
          <w:p w14:paraId="7D90CE47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37466218" w14:textId="08662BCC" w:rsidR="007D4FCD" w:rsidRPr="008D144E" w:rsidRDefault="008D144E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4</w:t>
            </w:r>
            <w:r w:rsidR="007D4FCD"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.</w:t>
            </w:r>
            <w:r w:rsidR="007D4FCD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Copia de los certificados de trabajo seguro en alturas de las personas que realizan montajes. </w:t>
            </w:r>
          </w:p>
          <w:p w14:paraId="5EF1E4E6" w14:textId="77777777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</w:p>
          <w:p w14:paraId="0B73B0E1" w14:textId="615C5683" w:rsidR="007D4FCD" w:rsidRPr="008D144E" w:rsidRDefault="007D4FCD" w:rsidP="008D144E">
            <w:pPr>
              <w:spacing w:line="220" w:lineRule="exact"/>
              <w:rPr>
                <w:rFonts w:ascii="Calibri" w:hAnsi="Calibri"/>
                <w:color w:val="262626" w:themeColor="text1" w:themeTint="D9"/>
                <w:sz w:val="16"/>
                <w:szCs w:val="16"/>
              </w:rPr>
            </w:pPr>
            <w:r w:rsidRPr="008D144E">
              <w:rPr>
                <w:rFonts w:ascii="Calibri" w:hAnsi="Calibri"/>
                <w:b/>
                <w:color w:val="262626" w:themeColor="text1" w:themeTint="D9"/>
                <w:sz w:val="16"/>
                <w:szCs w:val="16"/>
              </w:rPr>
              <w:t>5.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Documento firmado por parte de profesional competente </w:t>
            </w:r>
            <w:r w:rsidR="008D144E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(Ingeniería mecánica, ingeniería civil, arquitectura entre otras</w:t>
            </w:r>
            <w:r w:rsidR="00016E3C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CON MATRICULA VIGENTE</w:t>
            </w:r>
            <w:r w:rsidR="008D144E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) 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en área que certifique que </w:t>
            </w:r>
            <w:r w:rsidR="008D144E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TODAS 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las estructuras </w:t>
            </w:r>
            <w:r w:rsidR="008D144E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que entrega en el inventario 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cumplen con las normas </w:t>
            </w:r>
            <w:r w:rsidR="008D144E"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NSR10 y </w:t>
            </w:r>
            <w:r w:rsidRPr="008D144E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ASTM para materiales y de seguridad para el público. (Tarimas, techos, graderías, puentes y demás estructuras que soporten publico o elementos audiovisuales) </w:t>
            </w:r>
            <w:r w:rsidR="00BC09E5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 para diligenciar este requisito por favor remítase a la guía técnica </w:t>
            </w:r>
            <w:r w:rsidR="00BC09E5">
              <w:t xml:space="preserve"> </w:t>
            </w:r>
            <w:r w:rsidR="00BC09E5" w:rsidRPr="00BC09E5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 xml:space="preserve">para  </w:t>
            </w:r>
            <w:r w:rsidR="00BC09E5" w:rsidRPr="00BC09E5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ESTRUCTURA METÁLICA PARA EVENTOS</w:t>
            </w:r>
            <w:r w:rsidR="00BC09E5" w:rsidRPr="00BC09E5">
              <w:rPr>
                <w:rFonts w:ascii="Calibri" w:hAnsi="Calibri"/>
                <w:color w:val="262626" w:themeColor="text1" w:themeTint="D9"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</w:tbl>
    <w:p w14:paraId="18E91881" w14:textId="77777777" w:rsidR="00632B69" w:rsidRDefault="00B229A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2F867" wp14:editId="55303D97">
                <wp:simplePos x="0" y="0"/>
                <wp:positionH relativeFrom="column">
                  <wp:posOffset>593725</wp:posOffset>
                </wp:positionH>
                <wp:positionV relativeFrom="paragraph">
                  <wp:posOffset>131445</wp:posOffset>
                </wp:positionV>
                <wp:extent cx="5513070" cy="583565"/>
                <wp:effectExtent l="0" t="0" r="0" b="6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A0FB8" w14:textId="77777777" w:rsidR="00B357A6" w:rsidRPr="00B229A2" w:rsidRDefault="00B357A6" w:rsidP="00B229A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B229A2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REQUISITOS PARA LA ACREDITACIÓN DE SERVICIOS LOGÍSTICOS</w:t>
                            </w:r>
                          </w:p>
                          <w:p w14:paraId="1149BE0B" w14:textId="77777777" w:rsidR="00B357A6" w:rsidRDefault="00B357A6" w:rsidP="00B229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right="-660"/>
                              <w:jc w:val="center"/>
                              <w:rPr>
                                <w:rFonts w:ascii="Calibri" w:hAnsi="Calibri" w:cs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B7BCB">
                              <w:rPr>
                                <w:rFonts w:ascii="Calibri" w:hAnsi="Calibri" w:cs="Arial Narrow"/>
                                <w:sz w:val="20"/>
                                <w:szCs w:val="20"/>
                                <w:lang w:val="es-ES"/>
                              </w:rPr>
                              <w:t>Las empresas u organizaciones logísticas accederán a la acreditación general expedida</w:t>
                            </w:r>
                          </w:p>
                          <w:p w14:paraId="550C6850" w14:textId="28964164" w:rsidR="00B357A6" w:rsidRDefault="00B357A6" w:rsidP="00B229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right="-660"/>
                              <w:jc w:val="center"/>
                              <w:rPr>
                                <w:rFonts w:ascii="Calibri" w:hAnsi="Calibri" w:cs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B7BCB">
                              <w:rPr>
                                <w:rFonts w:ascii="Calibri" w:hAnsi="Calibri" w:cs="Arial Narrow"/>
                                <w:sz w:val="20"/>
                                <w:szCs w:val="20"/>
                                <w:lang w:val="es-ES"/>
                              </w:rPr>
                              <w:t>por el DAGRD mediante la prestación total digital de los siguientes documentos:</w:t>
                            </w:r>
                          </w:p>
                          <w:p w14:paraId="580AB2DE" w14:textId="77777777" w:rsidR="00B357A6" w:rsidRDefault="00B3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6.75pt;margin-top:10.35pt;width:434.1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" filled="f" stroked="f">
                <v:textbox>
                  <w:txbxContent>
                    <w:p w14:paraId="014A0FB8" w14:textId="77777777" w:rsidR="00B357A6" w:rsidRPr="00B229A2" w:rsidRDefault="00B357A6" w:rsidP="00B229A2">
                      <w:pPr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Pr="00B229A2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REQUISITOS PARA LA ACREDITACIÓN DE SERVICIOS LOGÍSTICOS</w:t>
                      </w:r>
                    </w:p>
                    <w:p w14:paraId="1149BE0B" w14:textId="77777777" w:rsidR="00B357A6" w:rsidRDefault="00B357A6" w:rsidP="00B229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exact"/>
                        <w:ind w:right="-660"/>
                        <w:jc w:val="center"/>
                        <w:rPr>
                          <w:rFonts w:ascii="Calibri" w:hAnsi="Calibri" w:cs="Arial Narrow"/>
                          <w:sz w:val="20"/>
                          <w:szCs w:val="20"/>
                          <w:lang w:val="es-ES"/>
                        </w:rPr>
                      </w:pPr>
                      <w:r w:rsidRPr="004B7BCB">
                        <w:rPr>
                          <w:rFonts w:ascii="Calibri" w:hAnsi="Calibri" w:cs="Arial Narrow"/>
                          <w:sz w:val="20"/>
                          <w:szCs w:val="20"/>
                          <w:lang w:val="es-ES"/>
                        </w:rPr>
                        <w:t>Las empresas u organizaciones logísticas accederán a la acreditación general expedida</w:t>
                      </w:r>
                    </w:p>
                    <w:p w14:paraId="550C6850" w14:textId="28964164" w:rsidR="00B357A6" w:rsidRDefault="00B357A6" w:rsidP="00B229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exact"/>
                        <w:ind w:right="-660"/>
                        <w:jc w:val="center"/>
                        <w:rPr>
                          <w:rFonts w:ascii="Calibri" w:hAnsi="Calibri" w:cs="Arial Narrow"/>
                          <w:sz w:val="20"/>
                          <w:szCs w:val="20"/>
                          <w:lang w:val="es-ES"/>
                        </w:rPr>
                      </w:pPr>
                      <w:r w:rsidRPr="004B7BCB">
                        <w:rPr>
                          <w:rFonts w:ascii="Calibri" w:hAnsi="Calibri" w:cs="Arial Narrow"/>
                          <w:sz w:val="20"/>
                          <w:szCs w:val="20"/>
                          <w:lang w:val="es-ES"/>
                        </w:rPr>
                        <w:t>por el DAGRD mediante la prestación total digital de los siguientes documentos:</w:t>
                      </w:r>
                    </w:p>
                    <w:p w14:paraId="580AB2DE" w14:textId="77777777" w:rsidR="00B357A6" w:rsidRDefault="00B357A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 wp14:anchorId="36B7B035" wp14:editId="3FEFBFBD">
            <wp:simplePos x="0" y="0"/>
            <wp:positionH relativeFrom="column">
              <wp:posOffset>5975350</wp:posOffset>
            </wp:positionH>
            <wp:positionV relativeFrom="paragraph">
              <wp:posOffset>-25107</wp:posOffset>
            </wp:positionV>
            <wp:extent cx="828675" cy="800100"/>
            <wp:effectExtent l="0" t="0" r="9525" b="1270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6B4"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B9B915F" wp14:editId="4A24CFF0">
            <wp:simplePos x="0" y="0"/>
            <wp:positionH relativeFrom="column">
              <wp:posOffset>37465</wp:posOffset>
            </wp:positionH>
            <wp:positionV relativeFrom="paragraph">
              <wp:posOffset>57492</wp:posOffset>
            </wp:positionV>
            <wp:extent cx="1042351" cy="601540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-título-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351" cy="60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DCBE1" w14:textId="77777777" w:rsidR="007D4FCD" w:rsidRDefault="007D4FCD"/>
    <w:p w14:paraId="4663475C" w14:textId="77777777" w:rsidR="007D4FCD" w:rsidRDefault="007D4FCD"/>
    <w:p w14:paraId="69B57F58" w14:textId="58D74E9B" w:rsidR="007D4FCD" w:rsidRDefault="009C0EC5">
      <w:r>
        <w:t xml:space="preserve">  </w:t>
      </w:r>
    </w:p>
    <w:p w14:paraId="72E33486" w14:textId="77777777" w:rsidR="007D4FCD" w:rsidRDefault="007D4FCD"/>
    <w:p w14:paraId="1162E58E" w14:textId="77777777" w:rsidR="007D4FCD" w:rsidRDefault="00B229A2" w:rsidP="00B229A2">
      <w:pPr>
        <w:jc w:val="center"/>
      </w:pPr>
      <w:r w:rsidRPr="007D4FCD">
        <w:rPr>
          <w:rFonts w:ascii="Calibri" w:hAnsi="Calibri"/>
          <w:b/>
          <w:color w:val="262626" w:themeColor="text1" w:themeTint="D9"/>
          <w:sz w:val="22"/>
          <w:szCs w:val="22"/>
        </w:rPr>
        <w:t>TODOS LOS DOCUMENTOS SON OBLIGATORIOS DEBEN IR EN EL ORDEN EN QUE SE SOLICITAN Y NUMERADOS, LA FALTA DE UNO DE ELLOS IMPLICA LA DEVOLUCIÓN DE LA DOCUMENTACIÓN Y DEMORA EN EL TRAMITE.</w:t>
      </w:r>
    </w:p>
    <w:p w14:paraId="1A0D2938" w14:textId="77777777" w:rsidR="007D4FCD" w:rsidRDefault="007D4FCD"/>
    <w:sectPr w:rsidR="007D4FCD" w:rsidSect="007D4FCD"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24981"/>
    <w:multiLevelType w:val="hybridMultilevel"/>
    <w:tmpl w:val="1018DE54"/>
    <w:lvl w:ilvl="0" w:tplc="3FCE1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92856"/>
    <w:multiLevelType w:val="hybridMultilevel"/>
    <w:tmpl w:val="BA78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CD"/>
    <w:rsid w:val="00016E3C"/>
    <w:rsid w:val="0034682A"/>
    <w:rsid w:val="004A205F"/>
    <w:rsid w:val="00632B69"/>
    <w:rsid w:val="007D4FCD"/>
    <w:rsid w:val="008948A0"/>
    <w:rsid w:val="008A4251"/>
    <w:rsid w:val="008D144E"/>
    <w:rsid w:val="009C0EC5"/>
    <w:rsid w:val="00AD744E"/>
    <w:rsid w:val="00B229A2"/>
    <w:rsid w:val="00B357A6"/>
    <w:rsid w:val="00BC09E5"/>
    <w:rsid w:val="00BE6BC6"/>
    <w:rsid w:val="00D361D1"/>
    <w:rsid w:val="00D4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64190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4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4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C25E23-8AAF-EE4A-8D40-E415488B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4693</Characters>
  <Application>Microsoft Macintosh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carlos quintero</cp:lastModifiedBy>
  <cp:revision>2</cp:revision>
  <cp:lastPrinted>2016-01-29T16:22:00Z</cp:lastPrinted>
  <dcterms:created xsi:type="dcterms:W3CDTF">2017-01-26T15:42:00Z</dcterms:created>
  <dcterms:modified xsi:type="dcterms:W3CDTF">2017-01-26T15:42:00Z</dcterms:modified>
</cp:coreProperties>
</file>